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156" w:rsidRPr="002F577E" w:rsidRDefault="00625156" w:rsidP="002F577E">
      <w:pPr>
        <w:spacing w:line="240" w:lineRule="auto"/>
        <w:ind w:firstLine="0"/>
        <w:jc w:val="center"/>
        <w:rPr>
          <w:rFonts w:cs="Times New Roman"/>
          <w:sz w:val="28"/>
          <w:szCs w:val="28"/>
        </w:rPr>
      </w:pPr>
      <w:r w:rsidRPr="002F577E">
        <w:rPr>
          <w:rFonts w:cs="Times New Roman"/>
          <w:sz w:val="28"/>
          <w:szCs w:val="28"/>
        </w:rPr>
        <w:t xml:space="preserve">ANÁLISE ACERCA DA APLICABILIDADE DO INSTITUTO </w:t>
      </w:r>
      <w:bookmarkStart w:id="0" w:name="_GoBack"/>
      <w:bookmarkEnd w:id="0"/>
      <w:r w:rsidRPr="002F577E">
        <w:rPr>
          <w:rFonts w:cs="Times New Roman"/>
          <w:sz w:val="28"/>
          <w:szCs w:val="28"/>
        </w:rPr>
        <w:t xml:space="preserve">DA DETRAÇÃO DA PENA </w:t>
      </w:r>
      <w:r w:rsidR="002F577E" w:rsidRPr="002F577E">
        <w:rPr>
          <w:rFonts w:cs="Times New Roman"/>
          <w:sz w:val="28"/>
          <w:szCs w:val="28"/>
        </w:rPr>
        <w:t xml:space="preserve">EM CASO DE APLICAÇÃO DE MEDIDAS </w:t>
      </w:r>
      <w:r w:rsidRPr="002F577E">
        <w:rPr>
          <w:rFonts w:cs="Times New Roman"/>
          <w:sz w:val="28"/>
          <w:szCs w:val="28"/>
        </w:rPr>
        <w:t>CAUTELARES DIVERSAS DA PRISÃO</w:t>
      </w:r>
    </w:p>
    <w:p w:rsidR="00625156" w:rsidRPr="002F577E" w:rsidRDefault="00625156" w:rsidP="00625156">
      <w:pPr>
        <w:rPr>
          <w:rFonts w:cs="Times New Roman"/>
        </w:rPr>
      </w:pPr>
    </w:p>
    <w:p w:rsidR="00625156" w:rsidRDefault="00741D5F" w:rsidP="009F71D6">
      <w:pPr>
        <w:jc w:val="center"/>
        <w:rPr>
          <w:rFonts w:cs="Times New Roman"/>
        </w:rPr>
      </w:pPr>
      <w:r w:rsidRPr="002F577E">
        <w:rPr>
          <w:rFonts w:cs="Times New Roman"/>
        </w:rPr>
        <w:t>Gabriela Fileto da Silva</w:t>
      </w:r>
      <w:r w:rsidR="002F577E" w:rsidRPr="002F577E">
        <w:rPr>
          <w:rFonts w:cs="Times New Roman"/>
        </w:rPr>
        <w:t xml:space="preserve">; </w:t>
      </w:r>
      <w:r w:rsidRPr="002F577E">
        <w:rPr>
          <w:rFonts w:cs="Times New Roman"/>
        </w:rPr>
        <w:t>Isabella Marques Silva</w:t>
      </w:r>
      <w:r w:rsidR="002F577E" w:rsidRPr="002F577E">
        <w:rPr>
          <w:rStyle w:val="Refdenotaderodap"/>
          <w:rFonts w:cs="Times New Roman"/>
        </w:rPr>
        <w:footnoteReference w:id="1"/>
      </w:r>
    </w:p>
    <w:p w:rsidR="009F71D6" w:rsidRPr="002F577E" w:rsidRDefault="009F71D6" w:rsidP="005A4B80">
      <w:pPr>
        <w:jc w:val="center"/>
        <w:rPr>
          <w:rFonts w:cs="Times New Roman"/>
        </w:rPr>
      </w:pPr>
    </w:p>
    <w:p w:rsidR="00625156" w:rsidRPr="002F577E" w:rsidRDefault="00625156" w:rsidP="00A03676">
      <w:pPr>
        <w:rPr>
          <w:rFonts w:cs="Times New Roman"/>
        </w:rPr>
      </w:pPr>
      <w:r w:rsidRPr="002F577E">
        <w:rPr>
          <w:rFonts w:cs="Times New Roman"/>
        </w:rPr>
        <w:t>RESUMO</w:t>
      </w:r>
    </w:p>
    <w:p w:rsidR="002F577E" w:rsidRPr="005A4B80" w:rsidRDefault="005A4B80" w:rsidP="005A4B80">
      <w:pPr>
        <w:pStyle w:val="NormalWeb"/>
        <w:spacing w:line="360" w:lineRule="auto"/>
        <w:ind w:firstLine="709"/>
        <w:jc w:val="both"/>
        <w:rPr>
          <w:shd w:val="clear" w:color="auto" w:fill="FFFFFF"/>
        </w:rPr>
      </w:pPr>
      <w:r w:rsidRPr="002F577E">
        <w:rPr>
          <w:shd w:val="clear" w:color="auto" w:fill="FFFFFF"/>
        </w:rPr>
        <w:t xml:space="preserve">O presente trabalho é de natureza aplicada, </w:t>
      </w:r>
      <w:r>
        <w:rPr>
          <w:shd w:val="clear" w:color="auto" w:fill="FFFFFF"/>
        </w:rPr>
        <w:t>a</w:t>
      </w:r>
      <w:r w:rsidRPr="002F577E">
        <w:rPr>
          <w:shd w:val="clear" w:color="auto" w:fill="FFFFFF"/>
        </w:rPr>
        <w:t xml:space="preserve"> fo</w:t>
      </w:r>
      <w:r>
        <w:rPr>
          <w:shd w:val="clear" w:color="auto" w:fill="FFFFFF"/>
        </w:rPr>
        <w:t>rma de abordagem é qualitativa, s</w:t>
      </w:r>
      <w:r w:rsidRPr="002F577E">
        <w:rPr>
          <w:shd w:val="clear" w:color="auto" w:fill="FFFFFF"/>
        </w:rPr>
        <w:t>erá realizado o método</w:t>
      </w:r>
      <w:r>
        <w:rPr>
          <w:shd w:val="clear" w:color="auto" w:fill="FFFFFF"/>
        </w:rPr>
        <w:t xml:space="preserve"> indutivo</w:t>
      </w:r>
      <w:r w:rsidRPr="002F577E">
        <w:rPr>
          <w:shd w:val="clear" w:color="auto" w:fill="FFFFFF"/>
        </w:rPr>
        <w:t>, e também será abordado o método histórico, para analisar as condições históricas que sustentam as corrente adotadas</w:t>
      </w:r>
      <w:r>
        <w:rPr>
          <w:shd w:val="clear" w:color="auto" w:fill="FFFFFF"/>
        </w:rPr>
        <w:t>. T</w:t>
      </w:r>
      <w:r w:rsidR="00625156" w:rsidRPr="002F577E">
        <w:t xml:space="preserve">em como escopo analisar o cabimento do instituto da detração da pena no caso de aplicação, no curso do processo, de medidas cautelares diversas da prisão. O tema é de grande relevância tendo em vista os diferentes posicionamentos sobre o assunto e a falta de previsão legal para dirimir as dúvidas. Para isso, </w:t>
      </w:r>
      <w:r w:rsidR="009F71D6" w:rsidRPr="009F71D6">
        <w:rPr>
          <w:color w:val="000000" w:themeColor="text1"/>
        </w:rPr>
        <w:t>realizar-se-á</w:t>
      </w:r>
      <w:r w:rsidR="00625156" w:rsidRPr="009F71D6">
        <w:rPr>
          <w:color w:val="000000" w:themeColor="text1"/>
        </w:rPr>
        <w:t xml:space="preserve"> </w:t>
      </w:r>
      <w:r w:rsidR="00625156" w:rsidRPr="002F577E">
        <w:t xml:space="preserve">um estudo doutrinário e jurisprudencial que engloba as diferentes visões sobre o </w:t>
      </w:r>
      <w:r w:rsidR="008E6755" w:rsidRPr="002F577E">
        <w:t>tema</w:t>
      </w:r>
      <w:r w:rsidR="00A55BD4" w:rsidRPr="002F577E">
        <w:t xml:space="preserve">. Assim, </w:t>
      </w:r>
      <w:r w:rsidR="009F71D6">
        <w:t>pretende-se induzir</w:t>
      </w:r>
      <w:r w:rsidR="00A55BD4" w:rsidRPr="002F577E">
        <w:t xml:space="preserve"> o leitor a</w:t>
      </w:r>
      <w:r w:rsidR="00625156" w:rsidRPr="002F577E">
        <w:t xml:space="preserve"> questionar a possibilidade da aplicação em casos diversos.</w:t>
      </w:r>
    </w:p>
    <w:p w:rsidR="002F577E" w:rsidRPr="002F577E" w:rsidRDefault="00625156" w:rsidP="002F577E">
      <w:pPr>
        <w:rPr>
          <w:rFonts w:cs="Times New Roman"/>
        </w:rPr>
      </w:pPr>
      <w:r w:rsidRPr="002F577E">
        <w:rPr>
          <w:rFonts w:cs="Times New Roman"/>
        </w:rPr>
        <w:t>Palavras-chave</w:t>
      </w:r>
      <w:r w:rsidR="00741D5F" w:rsidRPr="002F577E">
        <w:rPr>
          <w:rFonts w:cs="Times New Roman"/>
        </w:rPr>
        <w:t>:</w:t>
      </w:r>
      <w:r w:rsidR="000C4F02" w:rsidRPr="002F577E">
        <w:rPr>
          <w:rFonts w:cs="Times New Roman"/>
        </w:rPr>
        <w:t xml:space="preserve"> </w:t>
      </w:r>
      <w:r w:rsidR="009F14BB" w:rsidRPr="002F577E">
        <w:rPr>
          <w:rFonts w:cs="Times New Roman"/>
          <w:i/>
        </w:rPr>
        <w:t>B</w:t>
      </w:r>
      <w:r w:rsidR="000C4F02" w:rsidRPr="002F577E">
        <w:rPr>
          <w:rFonts w:cs="Times New Roman"/>
          <w:i/>
        </w:rPr>
        <w:t>is in idem</w:t>
      </w:r>
      <w:r w:rsidR="009F14BB">
        <w:rPr>
          <w:rFonts w:cs="Times New Roman"/>
        </w:rPr>
        <w:t>.</w:t>
      </w:r>
      <w:r w:rsidR="000C4F02" w:rsidRPr="002F577E">
        <w:rPr>
          <w:rFonts w:cs="Times New Roman"/>
        </w:rPr>
        <w:t xml:space="preserve"> </w:t>
      </w:r>
      <w:r w:rsidR="009F14BB">
        <w:rPr>
          <w:rFonts w:cs="Times New Roman"/>
        </w:rPr>
        <w:t>Execução penal.</w:t>
      </w:r>
      <w:r w:rsidR="008E6755" w:rsidRPr="002F577E">
        <w:rPr>
          <w:rFonts w:cs="Times New Roman"/>
        </w:rPr>
        <w:t xml:space="preserve"> </w:t>
      </w:r>
      <w:r w:rsidR="009F14BB" w:rsidRPr="002F577E">
        <w:rPr>
          <w:rFonts w:cs="Times New Roman"/>
        </w:rPr>
        <w:t>P</w:t>
      </w:r>
      <w:r w:rsidR="008E6755" w:rsidRPr="002F577E">
        <w:rPr>
          <w:rFonts w:cs="Times New Roman"/>
        </w:rPr>
        <w:t>rocesso penal.</w:t>
      </w:r>
    </w:p>
    <w:p w:rsidR="002F577E" w:rsidRPr="002F577E" w:rsidRDefault="002F577E" w:rsidP="002F577E">
      <w:pPr>
        <w:rPr>
          <w:rFonts w:cs="Times New Roman"/>
        </w:rPr>
      </w:pPr>
    </w:p>
    <w:p w:rsidR="00625156" w:rsidRPr="002F577E" w:rsidRDefault="00625156" w:rsidP="00625156">
      <w:pPr>
        <w:rPr>
          <w:rFonts w:cs="Times New Roman"/>
        </w:rPr>
      </w:pPr>
      <w:r w:rsidRPr="002F577E">
        <w:rPr>
          <w:rFonts w:cs="Times New Roman"/>
        </w:rPr>
        <w:t xml:space="preserve">1 INTRODUÇÃO </w:t>
      </w:r>
    </w:p>
    <w:p w:rsidR="00741D5F" w:rsidRPr="002F577E" w:rsidRDefault="00741D5F" w:rsidP="00741D5F">
      <w:pPr>
        <w:ind w:firstLine="0"/>
        <w:rPr>
          <w:rFonts w:cs="Times New Roman"/>
        </w:rPr>
      </w:pPr>
      <w:r w:rsidRPr="002F577E">
        <w:rPr>
          <w:rFonts w:cs="Times New Roman"/>
        </w:rPr>
        <w:tab/>
        <w:t>A detração da pena é o abatimento do tempo da prisão cautelar na pena aplicada, e está prevista no artigo 42 do Código penal:</w:t>
      </w:r>
    </w:p>
    <w:p w:rsidR="00741D5F" w:rsidRPr="002F577E" w:rsidRDefault="00741D5F" w:rsidP="00741D5F">
      <w:pPr>
        <w:spacing w:line="240" w:lineRule="auto"/>
        <w:ind w:left="2268" w:firstLine="0"/>
        <w:rPr>
          <w:rFonts w:cs="Times New Roman"/>
          <w:sz w:val="20"/>
          <w:szCs w:val="20"/>
        </w:rPr>
      </w:pPr>
      <w:r w:rsidRPr="002F577E">
        <w:rPr>
          <w:rFonts w:cs="Times New Roman"/>
          <w:sz w:val="20"/>
          <w:szCs w:val="20"/>
        </w:rPr>
        <w:t>Art. 42 - Computam-se, na pena privativa de liberdade e na medida de segurança, o tempo de prisão provisória, no Brasil ou no estrangeiro, o de prisão administrativa e o de internação em qualquer dos estabelecimentos referidos no artigo anterior</w:t>
      </w:r>
      <w:r w:rsidRPr="002F577E">
        <w:rPr>
          <w:rStyle w:val="Refdenotaderodap"/>
          <w:rFonts w:cs="Times New Roman"/>
          <w:sz w:val="20"/>
          <w:szCs w:val="20"/>
        </w:rPr>
        <w:footnoteReference w:id="2"/>
      </w:r>
      <w:r w:rsidRPr="002F577E">
        <w:rPr>
          <w:rFonts w:cs="Times New Roman"/>
          <w:sz w:val="20"/>
          <w:szCs w:val="20"/>
        </w:rPr>
        <w:t>.</w:t>
      </w:r>
    </w:p>
    <w:p w:rsidR="008412C2" w:rsidRPr="002F577E" w:rsidRDefault="00420FE9" w:rsidP="00A03676">
      <w:pPr>
        <w:spacing w:before="0" w:beforeAutospacing="0" w:after="0" w:afterAutospacing="0"/>
        <w:rPr>
          <w:rFonts w:cs="Times New Roman"/>
          <w:szCs w:val="24"/>
        </w:rPr>
      </w:pPr>
      <w:r w:rsidRPr="002F577E">
        <w:rPr>
          <w:rFonts w:cs="Times New Roman"/>
          <w:szCs w:val="24"/>
        </w:rPr>
        <w:lastRenderedPageBreak/>
        <w:t>O artigo não deixa dúvidas que o tempo da prisão provisória, da administrativa e a internação sã</w:t>
      </w:r>
      <w:r w:rsidR="008412C2" w:rsidRPr="002F577E">
        <w:rPr>
          <w:rFonts w:cs="Times New Roman"/>
          <w:szCs w:val="24"/>
        </w:rPr>
        <w:t>o computados no cálculo. No caso da prisão domiciliar já existe entendimento jurisprudencial no sentido de possibilitar a aplicação da detração.</w:t>
      </w:r>
    </w:p>
    <w:p w:rsidR="000C4F02" w:rsidRPr="002F577E" w:rsidRDefault="000C4F02" w:rsidP="00A03676">
      <w:pPr>
        <w:spacing w:before="0" w:beforeAutospacing="0" w:after="0" w:afterAutospacing="0"/>
        <w:rPr>
          <w:rFonts w:cs="Times New Roman"/>
        </w:rPr>
      </w:pPr>
      <w:r w:rsidRPr="002F577E">
        <w:rPr>
          <w:rFonts w:cs="Times New Roman"/>
        </w:rPr>
        <w:t>Quanto às medidas cautelares, essas se dividem em dois grupos: as prisões e as cautelares diversas da prisão. A</w:t>
      </w:r>
      <w:r w:rsidR="00A55BD4" w:rsidRPr="002F577E">
        <w:rPr>
          <w:rFonts w:cs="Times New Roman"/>
        </w:rPr>
        <w:t>s</w:t>
      </w:r>
      <w:r w:rsidRPr="002F577E">
        <w:rPr>
          <w:rFonts w:cs="Times New Roman"/>
        </w:rPr>
        <w:t xml:space="preserve"> primeira</w:t>
      </w:r>
      <w:r w:rsidR="00A55BD4" w:rsidRPr="002F577E">
        <w:rPr>
          <w:rFonts w:cs="Times New Roman"/>
        </w:rPr>
        <w:t>s anteveem</w:t>
      </w:r>
      <w:r w:rsidRPr="002F577E">
        <w:rPr>
          <w:rFonts w:cs="Times New Roman"/>
        </w:rPr>
        <w:t xml:space="preserve"> o propósito final do processo, sendo assim o tempo que foi cumprido de prisão provisória é detraído do tempo total da condenação,</w:t>
      </w:r>
      <w:r w:rsidR="008E6755" w:rsidRPr="002F577E">
        <w:rPr>
          <w:rFonts w:cs="Times New Roman"/>
        </w:rPr>
        <w:t xml:space="preserve"> e</w:t>
      </w:r>
      <w:r w:rsidRPr="002F577E">
        <w:rPr>
          <w:rFonts w:cs="Times New Roman"/>
        </w:rPr>
        <w:t xml:space="preserve"> está previsto no artigo 42 do Código Penal. Já na segunda, ocorrem limitações a respeito da liberdade do réu, </w:t>
      </w:r>
      <w:r w:rsidR="00A55BD4" w:rsidRPr="002F577E">
        <w:rPr>
          <w:rFonts w:cs="Times New Roman"/>
        </w:rPr>
        <w:t xml:space="preserve">e </w:t>
      </w:r>
      <w:r w:rsidRPr="002F577E">
        <w:rPr>
          <w:rFonts w:cs="Times New Roman"/>
        </w:rPr>
        <w:t xml:space="preserve">estão listadas no artigo 319 do Código de Processo Penal. </w:t>
      </w:r>
    </w:p>
    <w:p w:rsidR="00220788" w:rsidRDefault="00A55BD4" w:rsidP="00A03676">
      <w:pPr>
        <w:spacing w:before="0" w:beforeAutospacing="0" w:after="0" w:afterAutospacing="0"/>
        <w:rPr>
          <w:rFonts w:ascii="Arial" w:hAnsi="Arial" w:cs="Arial"/>
        </w:rPr>
      </w:pPr>
      <w:r w:rsidRPr="002F577E">
        <w:rPr>
          <w:rFonts w:cs="Times New Roman"/>
        </w:rPr>
        <w:t>Entre as medidas cautelares diversas da prisão, estão</w:t>
      </w:r>
      <w:r w:rsidR="008412C2" w:rsidRPr="002F577E">
        <w:rPr>
          <w:rFonts w:cs="Times New Roman"/>
        </w:rPr>
        <w:t>:</w:t>
      </w:r>
      <w:r w:rsidR="00420FE9" w:rsidRPr="002F577E">
        <w:rPr>
          <w:rFonts w:cs="Times New Roman"/>
          <w:szCs w:val="24"/>
        </w:rPr>
        <w:t xml:space="preserve"> o recolhimento domiciliar no período noturno e nos dias de folga</w:t>
      </w:r>
      <w:r w:rsidRPr="002F577E">
        <w:rPr>
          <w:rFonts w:cs="Times New Roman"/>
          <w:szCs w:val="24"/>
        </w:rPr>
        <w:t>;</w:t>
      </w:r>
      <w:r w:rsidR="00420FE9" w:rsidRPr="002F577E">
        <w:rPr>
          <w:rFonts w:cs="Times New Roman"/>
          <w:szCs w:val="24"/>
        </w:rPr>
        <w:t xml:space="preserve"> e a internação provisór</w:t>
      </w:r>
      <w:r w:rsidRPr="002F577E">
        <w:rPr>
          <w:rFonts w:cs="Times New Roman"/>
          <w:szCs w:val="24"/>
        </w:rPr>
        <w:t>ia do acusado. N</w:t>
      </w:r>
      <w:r w:rsidR="008412C2" w:rsidRPr="002F577E">
        <w:rPr>
          <w:rFonts w:cs="Times New Roman"/>
          <w:szCs w:val="24"/>
        </w:rPr>
        <w:t>ão existe qualquer previsão legal</w:t>
      </w:r>
      <w:r w:rsidR="000C4F02" w:rsidRPr="002F577E">
        <w:rPr>
          <w:rFonts w:cs="Times New Roman"/>
          <w:szCs w:val="24"/>
        </w:rPr>
        <w:t xml:space="preserve"> acerca da possibilidade de detração da pena</w:t>
      </w:r>
      <w:r w:rsidRPr="002F577E">
        <w:rPr>
          <w:rFonts w:cs="Times New Roman"/>
          <w:szCs w:val="24"/>
        </w:rPr>
        <w:t xml:space="preserve"> nesses casos</w:t>
      </w:r>
      <w:r w:rsidR="008412C2" w:rsidRPr="002F577E">
        <w:rPr>
          <w:rFonts w:cs="Times New Roman"/>
          <w:szCs w:val="24"/>
        </w:rPr>
        <w:t xml:space="preserve">. </w:t>
      </w:r>
      <w:r w:rsidR="00220788">
        <w:rPr>
          <w:rFonts w:cs="Times New Roman"/>
          <w:szCs w:val="24"/>
        </w:rPr>
        <w:t>É essencial lembrar</w:t>
      </w:r>
      <w:r w:rsidR="008412C2" w:rsidRPr="002F577E">
        <w:rPr>
          <w:rFonts w:cs="Times New Roman"/>
          <w:szCs w:val="24"/>
        </w:rPr>
        <w:t xml:space="preserve"> que t</w:t>
      </w:r>
      <w:r w:rsidR="00420FE9" w:rsidRPr="002F577E">
        <w:rPr>
          <w:rFonts w:cs="Times New Roman"/>
          <w:szCs w:val="24"/>
        </w:rPr>
        <w:t>ais medidas também cerceiam, de cert</w:t>
      </w:r>
      <w:r w:rsidR="008412C2" w:rsidRPr="002F577E">
        <w:rPr>
          <w:rFonts w:cs="Times New Roman"/>
          <w:szCs w:val="24"/>
        </w:rPr>
        <w:t xml:space="preserve">a forma, a liberdade do acusado, e por isso o debate se intensifica. </w:t>
      </w:r>
      <w:r w:rsidR="009F71D6">
        <w:rPr>
          <w:rFonts w:cs="Times New Roman"/>
          <w:szCs w:val="24"/>
        </w:rPr>
        <w:t xml:space="preserve"> </w:t>
      </w:r>
    </w:p>
    <w:p w:rsidR="008412C2" w:rsidRPr="002F577E" w:rsidRDefault="008412C2" w:rsidP="00A03676">
      <w:pPr>
        <w:spacing w:before="0" w:beforeAutospacing="0" w:after="0" w:afterAutospacing="0"/>
        <w:rPr>
          <w:rFonts w:cs="Times New Roman"/>
          <w:szCs w:val="24"/>
        </w:rPr>
      </w:pPr>
      <w:r w:rsidRPr="002F577E">
        <w:rPr>
          <w:rFonts w:cs="Times New Roman"/>
          <w:szCs w:val="24"/>
        </w:rPr>
        <w:t>O objetivo</w:t>
      </w:r>
      <w:r w:rsidR="000C4F02" w:rsidRPr="002F577E">
        <w:rPr>
          <w:rFonts w:cs="Times New Roman"/>
          <w:szCs w:val="24"/>
        </w:rPr>
        <w:t xml:space="preserve"> do presente trabalho</w:t>
      </w:r>
      <w:r w:rsidRPr="002F577E">
        <w:rPr>
          <w:rFonts w:cs="Times New Roman"/>
          <w:szCs w:val="24"/>
        </w:rPr>
        <w:t xml:space="preserve"> é analisar a aplicabilidade do instituto</w:t>
      </w:r>
      <w:r w:rsidR="00A55BD4" w:rsidRPr="002F577E">
        <w:rPr>
          <w:rFonts w:cs="Times New Roman"/>
          <w:szCs w:val="24"/>
        </w:rPr>
        <w:t xml:space="preserve"> da detração ness</w:t>
      </w:r>
      <w:r w:rsidR="000C4F02" w:rsidRPr="002F577E">
        <w:rPr>
          <w:rFonts w:cs="Times New Roman"/>
          <w:szCs w:val="24"/>
        </w:rPr>
        <w:t>es casos</w:t>
      </w:r>
      <w:r w:rsidRPr="002F577E">
        <w:rPr>
          <w:rFonts w:cs="Times New Roman"/>
          <w:szCs w:val="24"/>
        </w:rPr>
        <w:t xml:space="preserve"> tendo por base o princípio do </w:t>
      </w:r>
      <w:r w:rsidRPr="002F577E">
        <w:rPr>
          <w:rFonts w:cs="Times New Roman"/>
          <w:i/>
          <w:szCs w:val="24"/>
        </w:rPr>
        <w:t>ne bis in idem</w:t>
      </w:r>
      <w:r w:rsidRPr="002F577E">
        <w:rPr>
          <w:rFonts w:cs="Times New Roman"/>
          <w:szCs w:val="24"/>
        </w:rPr>
        <w:t>, uma vez que deixar de aplicar a medida pode ser considerado uma imposição de dupla pena, pelo mesmo fato, já que o acusado sofre a sanção durante a medida cautelar, e depois, tendo que cumprir a pena completa, sem a desconsideração do período da medida.</w:t>
      </w:r>
    </w:p>
    <w:p w:rsidR="008412C2" w:rsidRPr="002F577E" w:rsidRDefault="008412C2" w:rsidP="00A03676">
      <w:pPr>
        <w:spacing w:before="0" w:beforeAutospacing="0" w:after="0" w:afterAutospacing="0"/>
        <w:rPr>
          <w:rFonts w:cs="Times New Roman"/>
          <w:szCs w:val="24"/>
        </w:rPr>
      </w:pPr>
      <w:r w:rsidRPr="002F577E">
        <w:rPr>
          <w:rFonts w:cs="Times New Roman"/>
          <w:szCs w:val="24"/>
        </w:rPr>
        <w:t>Para tanto, foi feita pesquisa doutrinária e jurisprudencial, analisando os diversos posicionamentos de renomados juristas, bem co</w:t>
      </w:r>
      <w:r w:rsidR="00B8178F" w:rsidRPr="002F577E">
        <w:rPr>
          <w:rFonts w:cs="Times New Roman"/>
          <w:szCs w:val="24"/>
        </w:rPr>
        <w:t>mo a aplicação no caso concreto na jurisprudência.</w:t>
      </w:r>
    </w:p>
    <w:p w:rsidR="00625156" w:rsidRPr="002F577E" w:rsidRDefault="008412C2" w:rsidP="000C4F02">
      <w:pPr>
        <w:rPr>
          <w:rFonts w:cs="Times New Roman"/>
          <w:color w:val="FF0000"/>
        </w:rPr>
      </w:pPr>
      <w:r w:rsidRPr="002F577E">
        <w:rPr>
          <w:rFonts w:cs="Times New Roman"/>
          <w:szCs w:val="24"/>
        </w:rPr>
        <w:tab/>
      </w:r>
    </w:p>
    <w:p w:rsidR="00625156" w:rsidRPr="002F577E" w:rsidRDefault="00625156" w:rsidP="00625156">
      <w:pPr>
        <w:rPr>
          <w:rFonts w:cs="Times New Roman"/>
        </w:rPr>
      </w:pPr>
      <w:r w:rsidRPr="002F577E">
        <w:rPr>
          <w:rFonts w:cs="Times New Roman"/>
        </w:rPr>
        <w:t xml:space="preserve">2 METODOLOGIA </w:t>
      </w:r>
    </w:p>
    <w:p w:rsidR="00625156" w:rsidRPr="002F577E" w:rsidRDefault="00625156" w:rsidP="00A03676">
      <w:pPr>
        <w:pStyle w:val="NormalWeb"/>
        <w:spacing w:before="0" w:beforeAutospacing="0" w:after="0" w:afterAutospacing="0" w:line="360" w:lineRule="auto"/>
        <w:ind w:firstLine="709"/>
        <w:jc w:val="both"/>
        <w:rPr>
          <w:shd w:val="clear" w:color="auto" w:fill="FFFFFF"/>
        </w:rPr>
      </w:pPr>
      <w:r w:rsidRPr="002F577E">
        <w:rPr>
          <w:shd w:val="clear" w:color="auto" w:fill="FFFFFF"/>
        </w:rPr>
        <w:t>O presente trabalho é de natureza aplicada, objetivando a produção de conhecimento de aplicação prática.</w:t>
      </w:r>
    </w:p>
    <w:p w:rsidR="00625156" w:rsidRPr="002F577E" w:rsidRDefault="00625156" w:rsidP="00A03676">
      <w:pPr>
        <w:pStyle w:val="NormalWeb"/>
        <w:spacing w:before="0" w:beforeAutospacing="0" w:after="0" w:afterAutospacing="0" w:line="360" w:lineRule="auto"/>
        <w:ind w:firstLine="709"/>
        <w:jc w:val="both"/>
        <w:rPr>
          <w:shd w:val="clear" w:color="auto" w:fill="FFFFFF"/>
        </w:rPr>
      </w:pPr>
      <w:r w:rsidRPr="002F577E">
        <w:rPr>
          <w:shd w:val="clear" w:color="auto" w:fill="FFFFFF"/>
        </w:rPr>
        <w:t>A forma de abordagem é qualitativa, e tem como foco a compreensão de fatos e fenômenos sociais.</w:t>
      </w:r>
    </w:p>
    <w:p w:rsidR="00625156" w:rsidRPr="002F577E" w:rsidRDefault="00A32C3B" w:rsidP="00A03676">
      <w:pPr>
        <w:spacing w:before="0" w:beforeAutospacing="0" w:after="0" w:afterAutospacing="0"/>
        <w:rPr>
          <w:rFonts w:cs="Times New Roman"/>
          <w:shd w:val="clear" w:color="auto" w:fill="FFFFFF"/>
        </w:rPr>
      </w:pPr>
      <w:r w:rsidRPr="002F577E">
        <w:rPr>
          <w:rFonts w:cs="Times New Roman"/>
          <w:shd w:val="clear" w:color="auto" w:fill="FFFFFF"/>
        </w:rPr>
        <w:lastRenderedPageBreak/>
        <w:t>Será realizado o método indutivo que parte de fatos particulares para chegar a uma conclusão genérica, e também será abordado o método histórico, para analisar as condições históricas que sustentam a</w:t>
      </w:r>
      <w:r w:rsidR="008E6755" w:rsidRPr="002F577E">
        <w:rPr>
          <w:rFonts w:cs="Times New Roman"/>
          <w:shd w:val="clear" w:color="auto" w:fill="FFFFFF"/>
        </w:rPr>
        <w:t>s</w:t>
      </w:r>
      <w:r w:rsidRPr="002F577E">
        <w:rPr>
          <w:rFonts w:cs="Times New Roman"/>
          <w:shd w:val="clear" w:color="auto" w:fill="FFFFFF"/>
        </w:rPr>
        <w:t xml:space="preserve"> corrente adotada</w:t>
      </w:r>
      <w:r w:rsidR="008E6755" w:rsidRPr="002F577E">
        <w:rPr>
          <w:rFonts w:cs="Times New Roman"/>
          <w:shd w:val="clear" w:color="auto" w:fill="FFFFFF"/>
        </w:rPr>
        <w:t>s</w:t>
      </w:r>
      <w:r w:rsidRPr="002F577E">
        <w:rPr>
          <w:rFonts w:cs="Times New Roman"/>
          <w:shd w:val="clear" w:color="auto" w:fill="FFFFFF"/>
        </w:rPr>
        <w:t xml:space="preserve">.   </w:t>
      </w:r>
      <w:r w:rsidR="00625156" w:rsidRPr="002F577E">
        <w:rPr>
          <w:rFonts w:cs="Times New Roman"/>
          <w:shd w:val="clear" w:color="auto" w:fill="FFFFFF"/>
        </w:rPr>
        <w:t xml:space="preserve"> </w:t>
      </w:r>
    </w:p>
    <w:p w:rsidR="00625156" w:rsidRPr="002F577E" w:rsidRDefault="00625156" w:rsidP="00A03676">
      <w:pPr>
        <w:pStyle w:val="NormalWeb"/>
        <w:spacing w:before="0" w:beforeAutospacing="0" w:after="0" w:afterAutospacing="0" w:line="360" w:lineRule="auto"/>
        <w:ind w:firstLine="709"/>
        <w:jc w:val="both"/>
        <w:rPr>
          <w:shd w:val="clear" w:color="auto" w:fill="FFFFFF"/>
        </w:rPr>
      </w:pPr>
      <w:r w:rsidRPr="002F577E">
        <w:rPr>
          <w:shd w:val="clear" w:color="auto" w:fill="FFFFFF"/>
        </w:rPr>
        <w:t>Quanto aos procedimentos técnicos, utilizar-se-á a pesquisa bibliográfica, a partir do levantamento de dados de livros, artigos científicos e páginas de sites jurídicos; e documental, através de relatórios e documentos oficiais.</w:t>
      </w:r>
    </w:p>
    <w:p w:rsidR="001D0534" w:rsidRPr="002F577E" w:rsidRDefault="001D0534" w:rsidP="00A32C3B">
      <w:pPr>
        <w:pStyle w:val="NormalWeb"/>
        <w:spacing w:line="360" w:lineRule="auto"/>
        <w:ind w:firstLine="709"/>
        <w:jc w:val="both"/>
        <w:rPr>
          <w:shd w:val="clear" w:color="auto" w:fill="FFFFFF"/>
        </w:rPr>
      </w:pPr>
    </w:p>
    <w:p w:rsidR="001D0534" w:rsidRPr="002F577E" w:rsidRDefault="001D0534" w:rsidP="001D0534">
      <w:pPr>
        <w:rPr>
          <w:rFonts w:cs="Times New Roman"/>
        </w:rPr>
      </w:pPr>
      <w:r w:rsidRPr="002F577E">
        <w:rPr>
          <w:rFonts w:cs="Times New Roman"/>
        </w:rPr>
        <w:t>3 RESULTADOS E DISCUSSÃO</w:t>
      </w:r>
    </w:p>
    <w:p w:rsidR="001D0534" w:rsidRPr="002F577E" w:rsidRDefault="001D0534" w:rsidP="00A03676">
      <w:pPr>
        <w:spacing w:before="0" w:beforeAutospacing="0" w:after="0" w:afterAutospacing="0"/>
        <w:rPr>
          <w:rFonts w:cs="Times New Roman"/>
        </w:rPr>
      </w:pPr>
      <w:r w:rsidRPr="002F577E">
        <w:rPr>
          <w:rFonts w:cs="Times New Roman"/>
        </w:rPr>
        <w:t>Não há dúvida que as medida</w:t>
      </w:r>
      <w:r w:rsidR="000C4F02" w:rsidRPr="002F577E">
        <w:rPr>
          <w:rFonts w:cs="Times New Roman"/>
        </w:rPr>
        <w:t>s cautelares diversas da prisão</w:t>
      </w:r>
      <w:r w:rsidRPr="002F577E">
        <w:rPr>
          <w:rFonts w:cs="Times New Roman"/>
        </w:rPr>
        <w:t xml:space="preserve"> limitam a liberdade do réu, com uma restrição que muda de acordo com a medida aplicada. Não obstante, com a falta da previsão legal a respeito da detração nessas medidas, alguns doutrinadores concordam em não aplicar a detração, em razão da ausência de previsão legal. </w:t>
      </w:r>
    </w:p>
    <w:p w:rsidR="001D0534" w:rsidRPr="002F577E" w:rsidRDefault="000C4F02" w:rsidP="00A03676">
      <w:pPr>
        <w:spacing w:before="0" w:beforeAutospacing="0" w:after="0" w:afterAutospacing="0"/>
        <w:rPr>
          <w:rFonts w:cs="Times New Roman"/>
        </w:rPr>
      </w:pPr>
      <w:r w:rsidRPr="002F577E">
        <w:rPr>
          <w:rFonts w:cs="Times New Roman"/>
        </w:rPr>
        <w:t>Já</w:t>
      </w:r>
      <w:r w:rsidR="001D0534" w:rsidRPr="002F577E">
        <w:rPr>
          <w:rFonts w:cs="Times New Roman"/>
        </w:rPr>
        <w:t xml:space="preserve"> outros doutrinadores inclinam-se a concordar que a lei é omissa, contudo, será possível detrair se a medida cautelar restritiva guardar semelhança com a pena privativa. Temos como exemplo o recolhimento domiciliar noturno e nos dias de folga que é análogo ao recolhimento domiciliar do regime aberto, previsto no artigo 117 da Lei de Execuções penais.</w:t>
      </w:r>
    </w:p>
    <w:p w:rsidR="00DF56CD" w:rsidRPr="002F577E" w:rsidRDefault="00DF56CD" w:rsidP="001D0534">
      <w:pPr>
        <w:rPr>
          <w:rFonts w:cs="Times New Roman"/>
        </w:rPr>
      </w:pPr>
      <w:r w:rsidRPr="002F577E">
        <w:rPr>
          <w:rFonts w:cs="Times New Roman"/>
        </w:rPr>
        <w:t xml:space="preserve">Neste sentido: </w:t>
      </w:r>
    </w:p>
    <w:p w:rsidR="00DF56CD" w:rsidRPr="002F577E" w:rsidRDefault="00DF56CD" w:rsidP="00DF56CD">
      <w:pPr>
        <w:spacing w:line="240" w:lineRule="auto"/>
        <w:ind w:left="2268" w:firstLine="0"/>
        <w:rPr>
          <w:rFonts w:cs="Times New Roman"/>
        </w:rPr>
      </w:pPr>
      <w:r w:rsidRPr="002F577E">
        <w:rPr>
          <w:rFonts w:cs="Times New Roman"/>
          <w:sz w:val="20"/>
          <w:szCs w:val="20"/>
        </w:rPr>
        <w:t>(...). Suponha-se, (...) que como medida diversa da prisão, tenha lhe sido imposta a proibição de frequentar determinados lugares (art. 319, inc. II). Condenado recebe uma pena restritiva de direitos8, consiste exatamente na ‘proibição de frequentar determinados lugares’, nos termos do art. 47, inc. IV do Código Penal. Aqui, então, merecerá o favor legal da detração</w:t>
      </w:r>
      <w:r w:rsidR="00550DDA">
        <w:rPr>
          <w:rStyle w:val="Refdenotaderodap"/>
          <w:rFonts w:cs="Times New Roman"/>
          <w:sz w:val="20"/>
          <w:szCs w:val="20"/>
        </w:rPr>
        <w:footnoteReference w:id="3"/>
      </w:r>
      <w:r w:rsidRPr="002F577E">
        <w:rPr>
          <w:rFonts w:cs="Times New Roman"/>
          <w:sz w:val="20"/>
          <w:szCs w:val="20"/>
        </w:rPr>
        <w:t xml:space="preserve">. </w:t>
      </w:r>
    </w:p>
    <w:p w:rsidR="001D0534" w:rsidRPr="002F577E" w:rsidRDefault="001D0534" w:rsidP="00A03676">
      <w:pPr>
        <w:rPr>
          <w:rFonts w:cs="Times New Roman"/>
        </w:rPr>
      </w:pPr>
      <w:r w:rsidRPr="002F577E">
        <w:rPr>
          <w:rFonts w:cs="Times New Roman"/>
        </w:rPr>
        <w:t>E por fim, alguns juristas acreditam que i</w:t>
      </w:r>
      <w:r w:rsidR="00DF56CD" w:rsidRPr="002F577E">
        <w:rPr>
          <w:rFonts w:cs="Times New Roman"/>
        </w:rPr>
        <w:t xml:space="preserve">ndependentemente de não guardar </w:t>
      </w:r>
      <w:r w:rsidRPr="002F577E">
        <w:rPr>
          <w:rFonts w:cs="Times New Roman"/>
        </w:rPr>
        <w:t>nenhuma semelhança entre a pena e a medida cautelar restritiva, o juiz deve abater a pena com base na medida restritiva aplicad</w:t>
      </w:r>
      <w:r w:rsidR="009D04FF" w:rsidRPr="002F577E">
        <w:rPr>
          <w:rFonts w:cs="Times New Roman"/>
        </w:rPr>
        <w:t xml:space="preserve">a, como, por exemplo, Alberto Silva Franco, que acredita que se o instituto da detração penal serve para evitar o </w:t>
      </w:r>
      <w:r w:rsidR="009D04FF" w:rsidRPr="00A03676">
        <w:rPr>
          <w:rFonts w:cs="Times New Roman"/>
          <w:i/>
        </w:rPr>
        <w:t>bis in idem</w:t>
      </w:r>
      <w:r w:rsidR="009D04FF" w:rsidRPr="002F577E">
        <w:rPr>
          <w:rFonts w:cs="Times New Roman"/>
        </w:rPr>
        <w:t>, deve ser estendido a qualquer hipótese de intervenção estatal em direitos fundamentais do cidadão.</w:t>
      </w:r>
    </w:p>
    <w:p w:rsidR="00230146" w:rsidRPr="002F577E" w:rsidRDefault="00230146" w:rsidP="00A55BD4">
      <w:pPr>
        <w:rPr>
          <w:rFonts w:cs="Times New Roman"/>
        </w:rPr>
      </w:pPr>
      <w:r w:rsidRPr="002F577E">
        <w:rPr>
          <w:rFonts w:cs="Times New Roman"/>
        </w:rPr>
        <w:lastRenderedPageBreak/>
        <w:t xml:space="preserve">4 CONCLUSÕES  </w:t>
      </w:r>
    </w:p>
    <w:p w:rsidR="00230146" w:rsidRPr="002F577E" w:rsidRDefault="00241DE3" w:rsidP="00230146">
      <w:pPr>
        <w:rPr>
          <w:rFonts w:cs="Times New Roman"/>
        </w:rPr>
      </w:pPr>
      <w:r w:rsidRPr="002F577E">
        <w:rPr>
          <w:rFonts w:cs="Times New Roman"/>
        </w:rPr>
        <w:t>Conclui-se</w:t>
      </w:r>
      <w:r w:rsidR="00230146" w:rsidRPr="002F577E">
        <w:rPr>
          <w:rFonts w:cs="Times New Roman"/>
        </w:rPr>
        <w:t xml:space="preserve"> que a medida cautelar restringe a liberdade do acusado, mesmo </w:t>
      </w:r>
      <w:r w:rsidR="000C4F02" w:rsidRPr="002F577E">
        <w:rPr>
          <w:rFonts w:cs="Times New Roman"/>
        </w:rPr>
        <w:t>antes da comprovação de</w:t>
      </w:r>
      <w:r w:rsidR="00A55BD4" w:rsidRPr="002F577E">
        <w:rPr>
          <w:rFonts w:cs="Times New Roman"/>
        </w:rPr>
        <w:t xml:space="preserve"> que ele é culpado pelo</w:t>
      </w:r>
      <w:r w:rsidR="00230146" w:rsidRPr="002F577E">
        <w:rPr>
          <w:rFonts w:cs="Times New Roman"/>
        </w:rPr>
        <w:t xml:space="preserve"> fato delituoso. Sendo assim, </w:t>
      </w:r>
      <w:r w:rsidR="00A55BD4" w:rsidRPr="002F577E">
        <w:rPr>
          <w:rFonts w:cs="Times New Roman"/>
        </w:rPr>
        <w:t>o réu</w:t>
      </w:r>
      <w:r w:rsidR="00230146" w:rsidRPr="002F577E">
        <w:rPr>
          <w:rFonts w:cs="Times New Roman"/>
        </w:rPr>
        <w:t xml:space="preserve"> acaba sendo submetido a duas penas, caso ele seja condenado</w:t>
      </w:r>
      <w:r w:rsidR="00A55BD4" w:rsidRPr="002F577E">
        <w:rPr>
          <w:rFonts w:cs="Times New Roman"/>
        </w:rPr>
        <w:t xml:space="preserve"> e não seja descontado o período cumprido a título de medida cautelar do cálculo da pena final</w:t>
      </w:r>
      <w:r w:rsidR="00230146" w:rsidRPr="002F577E">
        <w:rPr>
          <w:rFonts w:cs="Times New Roman"/>
        </w:rPr>
        <w:t xml:space="preserve">. </w:t>
      </w:r>
    </w:p>
    <w:p w:rsidR="00230146" w:rsidRPr="002F577E" w:rsidRDefault="00230146" w:rsidP="00230146">
      <w:pPr>
        <w:rPr>
          <w:rFonts w:cs="Times New Roman"/>
        </w:rPr>
      </w:pPr>
      <w:r w:rsidRPr="002F577E">
        <w:rPr>
          <w:rFonts w:cs="Times New Roman"/>
        </w:rPr>
        <w:t xml:space="preserve">Essa atitude vai contra o princípio </w:t>
      </w:r>
      <w:r w:rsidRPr="002F577E">
        <w:rPr>
          <w:rFonts w:cs="Times New Roman"/>
          <w:i/>
        </w:rPr>
        <w:t>ne bis</w:t>
      </w:r>
      <w:r w:rsidR="008E6755" w:rsidRPr="002F577E">
        <w:rPr>
          <w:rFonts w:cs="Times New Roman"/>
          <w:i/>
        </w:rPr>
        <w:t xml:space="preserve"> in</w:t>
      </w:r>
      <w:r w:rsidRPr="002F577E">
        <w:rPr>
          <w:rFonts w:cs="Times New Roman"/>
          <w:i/>
        </w:rPr>
        <w:t xml:space="preserve"> idem</w:t>
      </w:r>
      <w:r w:rsidRPr="002F577E">
        <w:rPr>
          <w:rFonts w:cs="Times New Roman"/>
        </w:rPr>
        <w:t xml:space="preserve">, que busca impossibilitar a dupla punição. Sendo assim, a detração é de suma importância, pois o réu </w:t>
      </w:r>
      <w:r w:rsidR="00A55BD4" w:rsidRPr="002F577E">
        <w:rPr>
          <w:rFonts w:cs="Times New Roman"/>
        </w:rPr>
        <w:t>é considerado inocente até o trâ</w:t>
      </w:r>
      <w:r w:rsidRPr="002F577E">
        <w:rPr>
          <w:rFonts w:cs="Times New Roman"/>
        </w:rPr>
        <w:t>nsito em julgado, e se ele sofre uma medida cautelar diversa da prisão ocorre</w:t>
      </w:r>
      <w:r w:rsidR="00A55BD4" w:rsidRPr="002F577E">
        <w:rPr>
          <w:rFonts w:cs="Times New Roman"/>
        </w:rPr>
        <w:t xml:space="preserve"> uma restrição da sua liberdade</w:t>
      </w:r>
      <w:r w:rsidR="00241DE3" w:rsidRPr="002F577E">
        <w:rPr>
          <w:rFonts w:cs="Times New Roman"/>
        </w:rPr>
        <w:t>, e ele não deve ser punido duas vezes pelo mesmo fato.</w:t>
      </w:r>
    </w:p>
    <w:p w:rsidR="00241DE3" w:rsidRPr="002F577E" w:rsidRDefault="00241DE3" w:rsidP="00230146">
      <w:pPr>
        <w:rPr>
          <w:rFonts w:cs="Times New Roman"/>
        </w:rPr>
      </w:pPr>
      <w:r w:rsidRPr="002F577E">
        <w:rPr>
          <w:rFonts w:cs="Times New Roman"/>
        </w:rPr>
        <w:t xml:space="preserve">A pretensão desse trabalho não é esgotar o objeto de estudo, pois trata-se de tema extremamente complexo. Todavia, é possível construir através da jurisprudência uma maneira de deduzir o tempo descontado proporcionalmente, baseado na razoabilidade. É papel do juiz evitar a injustiça e decidir acerca da compensação </w:t>
      </w:r>
      <w:r w:rsidR="008E6755" w:rsidRPr="002F577E">
        <w:rPr>
          <w:rFonts w:cs="Times New Roman"/>
        </w:rPr>
        <w:t>analisando o caso concreto.</w:t>
      </w:r>
    </w:p>
    <w:p w:rsidR="00625156" w:rsidRPr="002F577E" w:rsidRDefault="00625156" w:rsidP="00625156">
      <w:pPr>
        <w:rPr>
          <w:rFonts w:cs="Times New Roman"/>
        </w:rPr>
      </w:pPr>
      <w:r w:rsidRPr="002F577E">
        <w:rPr>
          <w:rFonts w:cs="Times New Roman"/>
        </w:rPr>
        <w:t xml:space="preserve">5 REFERÊNCIAS BIBLIOGRÁFICAS </w:t>
      </w:r>
    </w:p>
    <w:p w:rsidR="00983CD6" w:rsidRDefault="00983CD6" w:rsidP="00A03676">
      <w:pPr>
        <w:spacing w:before="0" w:beforeAutospacing="0" w:after="0" w:afterAutospacing="0" w:line="240" w:lineRule="auto"/>
        <w:ind w:firstLine="0"/>
        <w:rPr>
          <w:rFonts w:cs="Arial"/>
          <w:color w:val="000000" w:themeColor="text1"/>
        </w:rPr>
      </w:pPr>
      <w:r w:rsidRPr="003D5ACE">
        <w:rPr>
          <w:rFonts w:cs="Arial"/>
        </w:rPr>
        <w:t>BRASIL. Código Penal. Decreto Lei nº 2.848, de 7 de dezembro de 1940. Disponível em</w:t>
      </w:r>
      <w:r w:rsidRPr="003D5ACE">
        <w:rPr>
          <w:rFonts w:cs="Arial"/>
          <w:color w:val="000000" w:themeColor="text1"/>
        </w:rPr>
        <w:t xml:space="preserve">: </w:t>
      </w:r>
      <w:hyperlink r:id="rId7" w:history="1">
        <w:r w:rsidRPr="004068D1">
          <w:rPr>
            <w:rStyle w:val="Hyperlink"/>
            <w:rFonts w:cs="Arial"/>
            <w:color w:val="000000" w:themeColor="text1"/>
            <w:u w:val="none"/>
          </w:rPr>
          <w:t>http://www.planalto.gov.br/ccivil_03/decreto-lei/del2848compilado.htm</w:t>
        </w:r>
      </w:hyperlink>
      <w:r>
        <w:rPr>
          <w:rFonts w:cs="Arial"/>
          <w:color w:val="000000" w:themeColor="text1"/>
        </w:rPr>
        <w:t>. Acesso em: 11</w:t>
      </w:r>
      <w:r w:rsidRPr="003D5ACE">
        <w:rPr>
          <w:rFonts w:cs="Arial"/>
          <w:color w:val="000000" w:themeColor="text1"/>
        </w:rPr>
        <w:t xml:space="preserve"> </w:t>
      </w:r>
      <w:r>
        <w:rPr>
          <w:rFonts w:cs="Arial"/>
          <w:color w:val="000000" w:themeColor="text1"/>
        </w:rPr>
        <w:t>ago</w:t>
      </w:r>
      <w:r w:rsidRPr="003D5ACE">
        <w:rPr>
          <w:rFonts w:cs="Arial"/>
          <w:color w:val="000000" w:themeColor="text1"/>
        </w:rPr>
        <w:t>. 2019.</w:t>
      </w:r>
    </w:p>
    <w:p w:rsidR="00983CD6" w:rsidRPr="002F577E" w:rsidRDefault="008E6755" w:rsidP="00A03676">
      <w:pPr>
        <w:spacing w:before="0" w:beforeAutospacing="0" w:after="0" w:afterAutospacing="0" w:line="240" w:lineRule="auto"/>
        <w:ind w:firstLine="0"/>
        <w:rPr>
          <w:rFonts w:cs="Times New Roman"/>
        </w:rPr>
      </w:pPr>
      <w:r w:rsidRPr="002F577E">
        <w:rPr>
          <w:rFonts w:cs="Times New Roman"/>
        </w:rPr>
        <w:t xml:space="preserve">CURY, Rogério. Detração penal e as medidas cautelares pessoais diversas da prisão – há compatibilidade? Disponível em: </w:t>
      </w:r>
      <w:hyperlink r:id="rId8" w:history="1">
        <w:r w:rsidRPr="002F577E">
          <w:rPr>
            <w:rStyle w:val="Hyperlink"/>
            <w:rFonts w:cs="Times New Roman"/>
            <w:color w:val="auto"/>
            <w:u w:val="none"/>
          </w:rPr>
          <w:t>https://rogeriocury.jusbrasil.com.br/artigos/112256228/detracao-penal-e-as-medidas-cautelares-pessoais-diversas-da-prisao-ha-compatibilidade</w:t>
        </w:r>
      </w:hyperlink>
      <w:r w:rsidRPr="002F577E">
        <w:rPr>
          <w:rFonts w:cs="Times New Roman"/>
        </w:rPr>
        <w:t>. Acesso em: 11 ago. 2019.</w:t>
      </w:r>
    </w:p>
    <w:p w:rsidR="008E6755" w:rsidRPr="002F577E" w:rsidRDefault="008E6755" w:rsidP="00A03676">
      <w:pPr>
        <w:spacing w:before="0" w:beforeAutospacing="0" w:after="0" w:afterAutospacing="0" w:line="240" w:lineRule="auto"/>
        <w:ind w:firstLine="0"/>
        <w:rPr>
          <w:rFonts w:cs="Times New Roman"/>
        </w:rPr>
      </w:pPr>
      <w:r w:rsidRPr="002F577E">
        <w:rPr>
          <w:rFonts w:cs="Times New Roman"/>
        </w:rPr>
        <w:t xml:space="preserve">MEDRADO, Wank Remy de Sena. A detração penal nas medidas cautelares pessoais diversas da prisão. Universidade Estácio de Sá. Disponível em: </w:t>
      </w:r>
      <w:hyperlink r:id="rId9" w:history="1">
        <w:r w:rsidRPr="002F577E">
          <w:rPr>
            <w:rStyle w:val="Hyperlink"/>
            <w:rFonts w:cs="Times New Roman"/>
            <w:color w:val="auto"/>
            <w:u w:val="none"/>
          </w:rPr>
          <w:t>https://portal.estacio.br/media/922619/ok-wank-remy-de-sena-medrado.pdf</w:t>
        </w:r>
      </w:hyperlink>
      <w:r w:rsidRPr="002F577E">
        <w:rPr>
          <w:rFonts w:cs="Times New Roman"/>
        </w:rPr>
        <w:t>. Acesso em: 13 ago. 2019.</w:t>
      </w:r>
    </w:p>
    <w:p w:rsidR="00625156" w:rsidRPr="002F577E" w:rsidRDefault="00741D5F" w:rsidP="00A03676">
      <w:pPr>
        <w:spacing w:before="0" w:beforeAutospacing="0" w:after="0" w:afterAutospacing="0" w:line="240" w:lineRule="auto"/>
        <w:ind w:firstLine="0"/>
        <w:rPr>
          <w:rFonts w:cs="Times New Roman"/>
        </w:rPr>
      </w:pPr>
      <w:r w:rsidRPr="002F577E">
        <w:rPr>
          <w:rFonts w:cs="Times New Roman"/>
        </w:rPr>
        <w:t xml:space="preserve">NEGRINI, Bárbara. Detração da pena no caso de aplicação de medidas cautelares diversas da prisão. Revista Juris UniToledo, Araçatuba, SP, v. 04, n.01, p. 82-97, jan./mar. 2019. Disponível em: </w:t>
      </w:r>
      <w:hyperlink r:id="rId10" w:history="1">
        <w:r w:rsidRPr="002F577E">
          <w:rPr>
            <w:rStyle w:val="Hyperlink"/>
            <w:rFonts w:cs="Times New Roman"/>
            <w:color w:val="auto"/>
            <w:u w:val="none"/>
          </w:rPr>
          <w:t>http://www.mpsp.mp.br/portal/page/portal/documentacao_e_divulgacao/doc_biblioteca/bibli_servicos_produtos/bibli_boletim/bibli_bol_2006/Rev-Juris-UNITOLEDO_v.4_n.1.06.pdf</w:t>
        </w:r>
      </w:hyperlink>
      <w:r w:rsidRPr="002F577E">
        <w:rPr>
          <w:rFonts w:cs="Times New Roman"/>
        </w:rPr>
        <w:t>. Acesso em: 11 ago. 2019.</w:t>
      </w:r>
    </w:p>
    <w:p w:rsidR="00B8178F" w:rsidRPr="002F577E" w:rsidRDefault="00B8178F" w:rsidP="00A03676">
      <w:pPr>
        <w:spacing w:before="0" w:beforeAutospacing="0" w:after="0" w:afterAutospacing="0" w:line="240" w:lineRule="auto"/>
        <w:ind w:firstLine="0"/>
        <w:rPr>
          <w:rFonts w:cs="Times New Roman"/>
        </w:rPr>
      </w:pPr>
      <w:r w:rsidRPr="002F577E">
        <w:rPr>
          <w:rFonts w:cs="Times New Roman"/>
        </w:rPr>
        <w:t xml:space="preserve">TALON, Evinis. A detração e as medidas cautelares diversas da prisão. Canal ciências criminais. Disponível em: </w:t>
      </w:r>
      <w:hyperlink r:id="rId11" w:history="1">
        <w:r w:rsidRPr="002F577E">
          <w:rPr>
            <w:rStyle w:val="Hyperlink"/>
            <w:rFonts w:cs="Times New Roman"/>
            <w:color w:val="auto"/>
            <w:u w:val="none"/>
          </w:rPr>
          <w:t>https://canalcienciascriminais.com.br/detracao-medidas-cautelares-diversas/</w:t>
        </w:r>
      </w:hyperlink>
      <w:r w:rsidRPr="002F577E">
        <w:rPr>
          <w:rFonts w:cs="Times New Roman"/>
        </w:rPr>
        <w:t>. Acesso em: 11 ago. 2019.</w:t>
      </w:r>
    </w:p>
    <w:p w:rsidR="00B8178F" w:rsidRPr="002F577E" w:rsidRDefault="00F64E88" w:rsidP="00A03676">
      <w:pPr>
        <w:spacing w:before="0" w:beforeAutospacing="0" w:after="0" w:afterAutospacing="0" w:line="240" w:lineRule="auto"/>
        <w:ind w:firstLine="0"/>
        <w:rPr>
          <w:rFonts w:cs="Times New Roman"/>
          <w:color w:val="000000" w:themeColor="text1"/>
        </w:rPr>
      </w:pPr>
      <w:r w:rsidRPr="002F577E">
        <w:rPr>
          <w:rFonts w:cs="Times New Roman"/>
        </w:rPr>
        <w:lastRenderedPageBreak/>
        <w:t xml:space="preserve">Tese Institucional 06. Disponível em: </w:t>
      </w:r>
      <w:hyperlink r:id="rId12" w:history="1">
        <w:r w:rsidRPr="002F577E">
          <w:rPr>
            <w:rStyle w:val="Hyperlink"/>
            <w:rFonts w:cs="Times New Roman"/>
            <w:color w:val="000000" w:themeColor="text1"/>
            <w:u w:val="none"/>
          </w:rPr>
          <w:t>http://www.edepar.pr.def.br/arquivos/File/Encontro_de_Teses/Integra_das_Teses/Tese_06.pdf</w:t>
        </w:r>
      </w:hyperlink>
      <w:r w:rsidR="00DF56CD" w:rsidRPr="002F577E">
        <w:rPr>
          <w:rFonts w:cs="Times New Roman"/>
          <w:color w:val="000000" w:themeColor="text1"/>
        </w:rPr>
        <w:t>. Acesso em: 11 ago.</w:t>
      </w:r>
      <w:r w:rsidRPr="002F577E">
        <w:rPr>
          <w:rFonts w:cs="Times New Roman"/>
          <w:color w:val="000000" w:themeColor="text1"/>
        </w:rPr>
        <w:t xml:space="preserve"> 2019.</w:t>
      </w:r>
    </w:p>
    <w:p w:rsidR="00961428" w:rsidRDefault="00961428" w:rsidP="00A55BD4">
      <w:pPr>
        <w:rPr>
          <w:rFonts w:ascii="Arial" w:hAnsi="Arial" w:cs="Arial"/>
        </w:rPr>
      </w:pPr>
    </w:p>
    <w:p w:rsidR="009F14BB" w:rsidRDefault="009F14BB" w:rsidP="00A55BD4">
      <w:pPr>
        <w:rPr>
          <w:rFonts w:ascii="Arial" w:hAnsi="Arial" w:cs="Arial"/>
        </w:rPr>
      </w:pPr>
    </w:p>
    <w:p w:rsidR="009F14BB" w:rsidRPr="00A55BD4" w:rsidRDefault="009F14BB" w:rsidP="00A55BD4">
      <w:pPr>
        <w:rPr>
          <w:rFonts w:ascii="Arial" w:hAnsi="Arial" w:cs="Arial"/>
        </w:rPr>
      </w:pPr>
    </w:p>
    <w:sectPr w:rsidR="009F14BB" w:rsidRPr="00A55BD4" w:rsidSect="00031E4D">
      <w:headerReference w:type="default" r:id="rId13"/>
      <w:pgSz w:w="11906" w:h="16838" w:code="9"/>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FD2" w:rsidRDefault="00DC1FD2" w:rsidP="00741D5F">
      <w:pPr>
        <w:spacing w:before="0" w:after="0" w:line="240" w:lineRule="auto"/>
      </w:pPr>
      <w:r>
        <w:separator/>
      </w:r>
    </w:p>
  </w:endnote>
  <w:endnote w:type="continuationSeparator" w:id="0">
    <w:p w:rsidR="00DC1FD2" w:rsidRDefault="00DC1FD2" w:rsidP="00741D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FD2" w:rsidRDefault="00DC1FD2" w:rsidP="00741D5F">
      <w:pPr>
        <w:spacing w:before="0" w:after="0" w:line="240" w:lineRule="auto"/>
      </w:pPr>
      <w:r>
        <w:separator/>
      </w:r>
    </w:p>
  </w:footnote>
  <w:footnote w:type="continuationSeparator" w:id="0">
    <w:p w:rsidR="00DC1FD2" w:rsidRDefault="00DC1FD2" w:rsidP="00741D5F">
      <w:pPr>
        <w:spacing w:before="0" w:after="0" w:line="240" w:lineRule="auto"/>
      </w:pPr>
      <w:r>
        <w:continuationSeparator/>
      </w:r>
    </w:p>
  </w:footnote>
  <w:footnote w:id="1">
    <w:p w:rsidR="002F577E" w:rsidRPr="002F577E" w:rsidRDefault="002F577E" w:rsidP="002F577E">
      <w:pPr>
        <w:pStyle w:val="Textodenotaderodap"/>
        <w:ind w:firstLine="0"/>
        <w:rPr>
          <w:rFonts w:cs="Times New Roman"/>
        </w:rPr>
      </w:pPr>
      <w:r w:rsidRPr="002F577E">
        <w:rPr>
          <w:rStyle w:val="Refdenotaderodap"/>
          <w:rFonts w:ascii="Arial" w:hAnsi="Arial" w:cs="Arial"/>
        </w:rPr>
        <w:footnoteRef/>
      </w:r>
      <w:r w:rsidRPr="002F577E">
        <w:rPr>
          <w:rFonts w:ascii="Arial" w:hAnsi="Arial" w:cs="Arial"/>
        </w:rPr>
        <w:t xml:space="preserve"> </w:t>
      </w:r>
      <w:r w:rsidRPr="002F577E">
        <w:rPr>
          <w:rFonts w:cs="Times New Roman"/>
        </w:rPr>
        <w:t xml:space="preserve">Faculdade de Direito de Franca. </w:t>
      </w:r>
      <w:hyperlink r:id="rId1" w:history="1">
        <w:r w:rsidRPr="002F577E">
          <w:rPr>
            <w:rStyle w:val="Hyperlink"/>
            <w:rFonts w:cs="Times New Roman"/>
            <w:color w:val="auto"/>
            <w:u w:val="none"/>
          </w:rPr>
          <w:t>gabi.fileto@hotmail.com</w:t>
        </w:r>
      </w:hyperlink>
      <w:r w:rsidRPr="002F577E">
        <w:rPr>
          <w:rFonts w:cs="Times New Roman"/>
        </w:rPr>
        <w:t>; sigaaisabella@outlook.com.</w:t>
      </w:r>
    </w:p>
  </w:footnote>
  <w:footnote w:id="2">
    <w:p w:rsidR="00741D5F" w:rsidRDefault="00741D5F" w:rsidP="002F577E">
      <w:pPr>
        <w:pStyle w:val="Textodenotaderodap"/>
        <w:ind w:firstLine="0"/>
      </w:pPr>
      <w:r w:rsidRPr="002F577E">
        <w:rPr>
          <w:rStyle w:val="Refdenotaderodap"/>
          <w:rFonts w:cs="Times New Roman"/>
        </w:rPr>
        <w:footnoteRef/>
      </w:r>
      <w:r w:rsidRPr="002F577E">
        <w:rPr>
          <w:rFonts w:cs="Times New Roman"/>
        </w:rPr>
        <w:t xml:space="preserve"> BRASIL. Decreto-lei nº 2.848, de 7 de dezembro de 1940. Código Penal. Rio de Janeiro, 7 de dezembro de 1940. Disponível em: </w:t>
      </w:r>
      <w:hyperlink r:id="rId2" w:history="1">
        <w:r w:rsidRPr="002F577E">
          <w:rPr>
            <w:rStyle w:val="Hyperlink"/>
            <w:rFonts w:cs="Times New Roman"/>
            <w:color w:val="auto"/>
            <w:u w:val="none"/>
          </w:rPr>
          <w:t>http://www.planalto.gov.br/ccivil_03/decreto-lei/del2848compilado.htm</w:t>
        </w:r>
      </w:hyperlink>
      <w:r w:rsidRPr="002F577E">
        <w:rPr>
          <w:rFonts w:cs="Times New Roman"/>
        </w:rPr>
        <w:t>. Acesso em: 11 ago. 2019.</w:t>
      </w:r>
    </w:p>
  </w:footnote>
  <w:footnote w:id="3">
    <w:p w:rsidR="00550DDA" w:rsidRDefault="00550DDA">
      <w:pPr>
        <w:pStyle w:val="Textodenotaderodap"/>
      </w:pPr>
      <w:r>
        <w:rPr>
          <w:rStyle w:val="Refdenotaderodap"/>
        </w:rPr>
        <w:footnoteRef/>
      </w:r>
      <w:r>
        <w:t xml:space="preserve"> CUNHA, Rogério Sanches; PINTO, Ronaldo Batista. Código de Processo Penal e Lei de Execução Penal comentados por artigos</w:t>
      </w:r>
      <w:r w:rsidR="00531DAC">
        <w:t>,</w:t>
      </w:r>
      <w:r w:rsidR="00531DAC" w:rsidRPr="002F577E">
        <w:rPr>
          <w:rFonts w:cs="Times New Roman"/>
        </w:rPr>
        <w:t xml:space="preserve"> p. 871</w:t>
      </w:r>
      <w:r w:rsidR="00531DAC">
        <w:rPr>
          <w:rFonts w:cs="Times New Roman"/>
        </w:rPr>
        <w:t xml:space="preserve">. </w:t>
      </w:r>
      <w:r>
        <w:t>Salvador: Juspodvim,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303457"/>
      <w:docPartObj>
        <w:docPartGallery w:val="Page Numbers (Top of Page)"/>
        <w:docPartUnique/>
      </w:docPartObj>
    </w:sdtPr>
    <w:sdtEndPr/>
    <w:sdtContent>
      <w:p w:rsidR="00B234FF" w:rsidRDefault="00B234FF">
        <w:pPr>
          <w:pStyle w:val="Cabealho"/>
          <w:jc w:val="right"/>
        </w:pPr>
        <w:r>
          <w:fldChar w:fldCharType="begin"/>
        </w:r>
        <w:r>
          <w:instrText>PAGE   \* MERGEFORMAT</w:instrText>
        </w:r>
        <w:r>
          <w:fldChar w:fldCharType="separate"/>
        </w:r>
        <w:r w:rsidR="003842E1">
          <w:rPr>
            <w:noProof/>
          </w:rPr>
          <w:t>2</w:t>
        </w:r>
        <w:r>
          <w:fldChar w:fldCharType="end"/>
        </w:r>
      </w:p>
    </w:sdtContent>
  </w:sdt>
  <w:p w:rsidR="00B234FF" w:rsidRDefault="00B234F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56"/>
    <w:rsid w:val="00031E4D"/>
    <w:rsid w:val="00040A99"/>
    <w:rsid w:val="000C4F02"/>
    <w:rsid w:val="00155613"/>
    <w:rsid w:val="001D0534"/>
    <w:rsid w:val="00220788"/>
    <w:rsid w:val="00230146"/>
    <w:rsid w:val="00241DE3"/>
    <w:rsid w:val="002F577E"/>
    <w:rsid w:val="003842E1"/>
    <w:rsid w:val="003D12F3"/>
    <w:rsid w:val="00420FE9"/>
    <w:rsid w:val="00525E96"/>
    <w:rsid w:val="00531DAC"/>
    <w:rsid w:val="00550DDA"/>
    <w:rsid w:val="005A4B80"/>
    <w:rsid w:val="006202D6"/>
    <w:rsid w:val="00625156"/>
    <w:rsid w:val="00741D5F"/>
    <w:rsid w:val="00770839"/>
    <w:rsid w:val="007E7F1B"/>
    <w:rsid w:val="008412C2"/>
    <w:rsid w:val="008A7B14"/>
    <w:rsid w:val="008B44B2"/>
    <w:rsid w:val="008E6755"/>
    <w:rsid w:val="00961428"/>
    <w:rsid w:val="00983CD6"/>
    <w:rsid w:val="009D04FF"/>
    <w:rsid w:val="009F14BB"/>
    <w:rsid w:val="009F71D6"/>
    <w:rsid w:val="00A03676"/>
    <w:rsid w:val="00A223B1"/>
    <w:rsid w:val="00A32C3B"/>
    <w:rsid w:val="00A55BD4"/>
    <w:rsid w:val="00A8042E"/>
    <w:rsid w:val="00B234FF"/>
    <w:rsid w:val="00B8178F"/>
    <w:rsid w:val="00C3388D"/>
    <w:rsid w:val="00CF563E"/>
    <w:rsid w:val="00DC1FD2"/>
    <w:rsid w:val="00DF010D"/>
    <w:rsid w:val="00DF56CD"/>
    <w:rsid w:val="00E150D2"/>
    <w:rsid w:val="00F64E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96AE1-92F3-482E-9E0D-F8E0CD69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56"/>
    <w:pPr>
      <w:spacing w:before="100" w:beforeAutospacing="1" w:after="100" w:afterAutospacing="1"/>
      <w:ind w:firstLine="709"/>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25156"/>
    <w:pPr>
      <w:spacing w:line="240" w:lineRule="auto"/>
      <w:ind w:firstLine="680"/>
      <w:jc w:val="left"/>
    </w:pPr>
    <w:rPr>
      <w:rFonts w:eastAsia="Times New Roman" w:cs="Times New Roman"/>
      <w:szCs w:val="24"/>
      <w:lang w:eastAsia="pt-BR"/>
    </w:rPr>
  </w:style>
  <w:style w:type="character" w:styleId="Hyperlink">
    <w:name w:val="Hyperlink"/>
    <w:basedOn w:val="Fontepargpadro"/>
    <w:uiPriority w:val="99"/>
    <w:unhideWhenUsed/>
    <w:rsid w:val="00741D5F"/>
    <w:rPr>
      <w:color w:val="0000FF" w:themeColor="hyperlink"/>
      <w:u w:val="single"/>
    </w:rPr>
  </w:style>
  <w:style w:type="paragraph" w:styleId="Textodenotaderodap">
    <w:name w:val="footnote text"/>
    <w:basedOn w:val="Normal"/>
    <w:link w:val="TextodenotaderodapChar"/>
    <w:uiPriority w:val="99"/>
    <w:semiHidden/>
    <w:unhideWhenUsed/>
    <w:rsid w:val="00741D5F"/>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1D5F"/>
    <w:rPr>
      <w:rFonts w:ascii="Times New Roman" w:hAnsi="Times New Roman"/>
      <w:sz w:val="20"/>
      <w:szCs w:val="20"/>
    </w:rPr>
  </w:style>
  <w:style w:type="character" w:styleId="Refdenotaderodap">
    <w:name w:val="footnote reference"/>
    <w:basedOn w:val="Fontepargpadro"/>
    <w:uiPriority w:val="99"/>
    <w:semiHidden/>
    <w:unhideWhenUsed/>
    <w:rsid w:val="00741D5F"/>
    <w:rPr>
      <w:vertAlign w:val="superscript"/>
    </w:rPr>
  </w:style>
  <w:style w:type="paragraph" w:customStyle="1" w:styleId="Default">
    <w:name w:val="Default"/>
    <w:rsid w:val="00CF563E"/>
    <w:pPr>
      <w:autoSpaceDE w:val="0"/>
      <w:autoSpaceDN w:val="0"/>
      <w:adjustRightInd w:val="0"/>
      <w:spacing w:after="0" w:line="240" w:lineRule="auto"/>
      <w:jc w:val="left"/>
    </w:pPr>
    <w:rPr>
      <w:rFonts w:ascii="Calibri" w:hAnsi="Calibri" w:cs="Calibri"/>
      <w:color w:val="000000"/>
      <w:sz w:val="24"/>
      <w:szCs w:val="24"/>
    </w:rPr>
  </w:style>
  <w:style w:type="paragraph" w:styleId="Cabealho">
    <w:name w:val="header"/>
    <w:basedOn w:val="Normal"/>
    <w:link w:val="CabealhoChar"/>
    <w:uiPriority w:val="99"/>
    <w:unhideWhenUsed/>
    <w:rsid w:val="00B234FF"/>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B234FF"/>
    <w:rPr>
      <w:rFonts w:ascii="Times New Roman" w:hAnsi="Times New Roman"/>
      <w:sz w:val="24"/>
    </w:rPr>
  </w:style>
  <w:style w:type="paragraph" w:styleId="Rodap">
    <w:name w:val="footer"/>
    <w:basedOn w:val="Normal"/>
    <w:link w:val="RodapChar"/>
    <w:uiPriority w:val="99"/>
    <w:unhideWhenUsed/>
    <w:rsid w:val="00B234FF"/>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B234FF"/>
    <w:rPr>
      <w:rFonts w:ascii="Times New Roman" w:hAnsi="Times New Roman"/>
      <w:sz w:val="24"/>
    </w:rPr>
  </w:style>
  <w:style w:type="paragraph" w:styleId="Textodenotadefim">
    <w:name w:val="endnote text"/>
    <w:basedOn w:val="Normal"/>
    <w:link w:val="TextodenotadefimChar"/>
    <w:uiPriority w:val="99"/>
    <w:semiHidden/>
    <w:unhideWhenUsed/>
    <w:rsid w:val="00550DDA"/>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550DDA"/>
    <w:rPr>
      <w:rFonts w:ascii="Times New Roman" w:hAnsi="Times New Roman"/>
      <w:sz w:val="20"/>
      <w:szCs w:val="20"/>
    </w:rPr>
  </w:style>
  <w:style w:type="character" w:styleId="Refdenotadefim">
    <w:name w:val="endnote reference"/>
    <w:basedOn w:val="Fontepargpadro"/>
    <w:uiPriority w:val="99"/>
    <w:semiHidden/>
    <w:unhideWhenUsed/>
    <w:rsid w:val="00550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eriocury.jusbrasil.com.br/artigos/112256228/detracao-penal-e-as-medidas-cautelares-pessoais-diversas-da-prisao-ha-compatibilida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decreto-lei/del2848compilado.htm" TargetMode="External"/><Relationship Id="rId12" Type="http://schemas.openxmlformats.org/officeDocument/2006/relationships/hyperlink" Target="http://www.edepar.pr.def.br/arquivos/File/Encontro_de_Teses/Integra_das_Teses/Tese_0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analcienciascriminais.com.br/detracao-medidas-cautelares-divers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psp.mp.br/portal/page/portal/documentacao_e_divulgacao/doc_biblioteca/bibli_servicos_produtos/bibli_boletim/bibli_bol_2006/Rev-Juris-UNITOLEDO_v.4_n.1.06.pdf" TargetMode="External"/><Relationship Id="rId4" Type="http://schemas.openxmlformats.org/officeDocument/2006/relationships/webSettings" Target="webSettings.xml"/><Relationship Id="rId9" Type="http://schemas.openxmlformats.org/officeDocument/2006/relationships/hyperlink" Target="https://portal.estacio.br/media/922619/ok-wank-remy-de-sena-medrado.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decreto-lei/del2848compilado.htm" TargetMode="External"/><Relationship Id="rId1" Type="http://schemas.openxmlformats.org/officeDocument/2006/relationships/hyperlink" Target="mailto:gabi.filet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22F65-80F6-49B7-9B17-BDA046F7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7121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Gabriela Fileto</cp:lastModifiedBy>
  <cp:revision>2</cp:revision>
  <dcterms:created xsi:type="dcterms:W3CDTF">2019-10-03T01:51:00Z</dcterms:created>
  <dcterms:modified xsi:type="dcterms:W3CDTF">2019-10-03T01:51:00Z</dcterms:modified>
</cp:coreProperties>
</file>